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070" w:rsidRDefault="004F7871">
      <w:pPr>
        <w:pStyle w:val="likeheader"/>
      </w:pPr>
      <w:r>
        <w:t xml:space="preserve">OMB No. 0925-0001 and 0925-0002 (Rev. 09/17 Approved Through 03/31/2020) </w:t>
      </w:r>
      <w:r w:rsidR="002546E0">
        <w:pict>
          <v:rect id="_x0000_i1025" style="width:6in;height:.75pt" o:hralign="center" o:hrstd="t" o:hr="t" fillcolor="gray" stroked="f">
            <v:path strokeok="f"/>
          </v:rect>
        </w:pict>
      </w:r>
    </w:p>
    <w:p w:rsidR="00B21070" w:rsidRDefault="004F7871">
      <w:pPr>
        <w:pStyle w:val="h3center"/>
      </w:pPr>
      <w:r>
        <w:rPr>
          <w:rFonts w:ascii="Arial" w:eastAsia="Arial" w:hAnsi="Arial" w:cs="Arial"/>
          <w:sz w:val="26"/>
          <w:szCs w:val="26"/>
        </w:rPr>
        <w:t>BIOGRAPHICAL SKETCH</w:t>
      </w:r>
    </w:p>
    <w:p w:rsidR="00B21070" w:rsidRDefault="004F7871">
      <w:pPr>
        <w:jc w:val="center"/>
      </w:pPr>
      <w:r>
        <w:rPr>
          <w:sz w:val="16"/>
          <w:szCs w:val="16"/>
        </w:rPr>
        <w:t>Provide the following information for the Senior/key personnel and other significant contributors.</w:t>
      </w:r>
    </w:p>
    <w:p w:rsidR="00B21070" w:rsidRDefault="004F7871">
      <w:pPr>
        <w:spacing w:after="75"/>
        <w:jc w:val="center"/>
      </w:pPr>
      <w:r>
        <w:rPr>
          <w:sz w:val="16"/>
          <w:szCs w:val="16"/>
        </w:rPr>
        <w:t>Follow this format for each person. DO NOT EXCEED FIVE PAGES.</w:t>
      </w:r>
    </w:p>
    <w:tbl>
      <w:tblPr>
        <w:tblStyle w:val="table"/>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0800"/>
      </w:tblGrid>
      <w:tr w:rsidR="00B21070">
        <w:tc>
          <w:tcPr>
            <w:tcW w:w="4530" w:type="dxa"/>
            <w:tcBorders>
              <w:top w:val="inset" w:sz="6" w:space="0" w:color="808080"/>
              <w:bottom w:val="single" w:sz="6" w:space="0" w:color="000000"/>
            </w:tcBorders>
            <w:tcMar>
              <w:top w:w="15" w:type="dxa"/>
              <w:left w:w="15" w:type="dxa"/>
              <w:bottom w:w="15" w:type="dxa"/>
              <w:right w:w="15" w:type="dxa"/>
            </w:tcMar>
          </w:tcPr>
          <w:p w:rsidR="00B21070" w:rsidRDefault="004F7871">
            <w:r>
              <w:t>NAME: Ryter, Kendal</w:t>
            </w:r>
          </w:p>
        </w:tc>
      </w:tr>
      <w:tr w:rsidR="00B21070">
        <w:tc>
          <w:tcPr>
            <w:tcW w:w="0" w:type="auto"/>
            <w:tcBorders>
              <w:top w:val="inset" w:sz="6" w:space="0" w:color="808080"/>
              <w:bottom w:val="single" w:sz="6" w:space="0" w:color="000000"/>
            </w:tcBorders>
            <w:tcMar>
              <w:top w:w="15" w:type="dxa"/>
              <w:left w:w="15" w:type="dxa"/>
              <w:bottom w:w="15" w:type="dxa"/>
              <w:right w:w="15" w:type="dxa"/>
            </w:tcMar>
          </w:tcPr>
          <w:p w:rsidR="00B21070" w:rsidRDefault="004F7871">
            <w:r>
              <w:t>eRA COMMONS USER NAME (credential, e.g., agency login): kryter</w:t>
            </w:r>
          </w:p>
        </w:tc>
      </w:tr>
      <w:tr w:rsidR="00B21070">
        <w:tc>
          <w:tcPr>
            <w:tcW w:w="0" w:type="auto"/>
            <w:tcBorders>
              <w:top w:val="inset" w:sz="6" w:space="0" w:color="808080"/>
              <w:bottom w:val="single" w:sz="6" w:space="0" w:color="000000"/>
            </w:tcBorders>
            <w:tcMar>
              <w:top w:w="15" w:type="dxa"/>
              <w:left w:w="15" w:type="dxa"/>
              <w:bottom w:w="15" w:type="dxa"/>
              <w:right w:w="15" w:type="dxa"/>
            </w:tcMar>
          </w:tcPr>
          <w:p w:rsidR="00B21070" w:rsidRDefault="004F7871">
            <w:r>
              <w:t>POSITION TITLE: Associate Research Faculty</w:t>
            </w:r>
          </w:p>
        </w:tc>
      </w:tr>
    </w:tbl>
    <w:p w:rsidR="00B21070" w:rsidRDefault="004F7871">
      <w:pPr>
        <w:pStyle w:val="sectionEducationsectionHeader"/>
      </w:pPr>
      <w:r>
        <w:t xml:space="preserve">EDUCATION/TRAINING </w:t>
      </w:r>
      <w:r>
        <w:rPr>
          <w:i/>
          <w:iCs/>
        </w:rPr>
        <w:t xml:space="preserve">(Begin with baccalaureate or other initial professional education, such as nursing, include postdoctoral training and residency training if applicable. Add/delete rows as necessary.) </w:t>
      </w:r>
    </w:p>
    <w:tbl>
      <w:tblPr>
        <w:tblStyle w:val="table"/>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5186"/>
        <w:gridCol w:w="1745"/>
        <w:gridCol w:w="1489"/>
        <w:gridCol w:w="2380"/>
      </w:tblGrid>
      <w:tr w:rsidR="00B21070">
        <w:tc>
          <w:tcPr>
            <w:tcW w:w="0" w:type="auto"/>
            <w:tcBorders>
              <w:top w:val="inset" w:sz="6" w:space="0" w:color="808080"/>
              <w:bottom w:val="single" w:sz="6" w:space="0" w:color="000000"/>
              <w:right w:val="single" w:sz="6" w:space="0" w:color="000000"/>
            </w:tcBorders>
            <w:tcMar>
              <w:top w:w="15" w:type="dxa"/>
              <w:left w:w="15" w:type="dxa"/>
              <w:bottom w:w="15" w:type="dxa"/>
              <w:right w:w="15" w:type="dxa"/>
            </w:tcMar>
          </w:tcPr>
          <w:p w:rsidR="00B21070" w:rsidRDefault="004F7871">
            <w:pPr>
              <w:jc w:val="center"/>
            </w:pPr>
            <w:r>
              <w:t>INSTITUTION AND LOCATION</w:t>
            </w:r>
          </w:p>
        </w:tc>
        <w:tc>
          <w:tcPr>
            <w:tcW w:w="0" w:type="auto"/>
            <w:tcBorders>
              <w:top w:val="inset" w:sz="6" w:space="0" w:color="808080"/>
              <w:left w:val="inset" w:sz="6" w:space="0" w:color="808080"/>
              <w:bottom w:val="single" w:sz="6" w:space="0" w:color="000000"/>
              <w:right w:val="single" w:sz="6" w:space="0" w:color="000000"/>
            </w:tcBorders>
            <w:tcMar>
              <w:top w:w="15" w:type="dxa"/>
              <w:left w:w="15" w:type="dxa"/>
              <w:bottom w:w="15" w:type="dxa"/>
              <w:right w:w="15" w:type="dxa"/>
            </w:tcMar>
          </w:tcPr>
          <w:p w:rsidR="00B21070" w:rsidRDefault="004F7871">
            <w:pPr>
              <w:jc w:val="center"/>
            </w:pPr>
            <w:r>
              <w:t>DEGREE</w:t>
            </w:r>
            <w:r>
              <w:br/>
              <w:t>(if applicable)</w:t>
            </w:r>
          </w:p>
        </w:tc>
        <w:tc>
          <w:tcPr>
            <w:tcW w:w="0" w:type="auto"/>
            <w:tcBorders>
              <w:top w:val="inset" w:sz="6" w:space="0" w:color="808080"/>
              <w:left w:val="inset" w:sz="6" w:space="0" w:color="808080"/>
              <w:bottom w:val="single" w:sz="6" w:space="0" w:color="000000"/>
              <w:right w:val="single" w:sz="6" w:space="0" w:color="000000"/>
            </w:tcBorders>
            <w:tcMar>
              <w:top w:w="15" w:type="dxa"/>
              <w:left w:w="15" w:type="dxa"/>
              <w:bottom w:w="15" w:type="dxa"/>
              <w:right w:w="15" w:type="dxa"/>
            </w:tcMar>
          </w:tcPr>
          <w:p w:rsidR="00B21070" w:rsidRDefault="004F7871">
            <w:pPr>
              <w:jc w:val="center"/>
            </w:pPr>
            <w:r>
              <w:t>END DATE</w:t>
            </w:r>
            <w:r>
              <w:br/>
              <w:t>MM/YYYY</w:t>
            </w:r>
          </w:p>
        </w:tc>
        <w:tc>
          <w:tcPr>
            <w:tcW w:w="0" w:type="auto"/>
            <w:tcBorders>
              <w:top w:val="inset" w:sz="6" w:space="0" w:color="808080"/>
              <w:left w:val="inset" w:sz="6" w:space="0" w:color="808080"/>
              <w:bottom w:val="single" w:sz="6" w:space="0" w:color="000000"/>
            </w:tcBorders>
            <w:tcMar>
              <w:top w:w="15" w:type="dxa"/>
              <w:left w:w="15" w:type="dxa"/>
              <w:bottom w:w="15" w:type="dxa"/>
              <w:right w:w="15" w:type="dxa"/>
            </w:tcMar>
          </w:tcPr>
          <w:p w:rsidR="00B21070" w:rsidRDefault="004F7871">
            <w:pPr>
              <w:jc w:val="center"/>
            </w:pPr>
            <w:r>
              <w:t>FIELD OF STUDY</w:t>
            </w:r>
          </w:p>
        </w:tc>
      </w:tr>
      <w:tr w:rsidR="00B21070">
        <w:tc>
          <w:tcPr>
            <w:tcW w:w="0" w:type="auto"/>
            <w:tcBorders>
              <w:right w:val="single" w:sz="6" w:space="0" w:color="000000"/>
            </w:tcBorders>
            <w:tcMar>
              <w:top w:w="15" w:type="dxa"/>
              <w:left w:w="15" w:type="dxa"/>
              <w:bottom w:w="15" w:type="dxa"/>
              <w:right w:w="15" w:type="dxa"/>
            </w:tcMar>
          </w:tcPr>
          <w:p w:rsidR="00B21070" w:rsidRDefault="004F7871">
            <w:r>
              <w:t>Fort Lewis College, Durango, CO</w:t>
            </w:r>
          </w:p>
        </w:tc>
        <w:tc>
          <w:tcPr>
            <w:tcW w:w="0" w:type="auto"/>
            <w:tcBorders>
              <w:left w:val="inset" w:sz="6" w:space="0" w:color="808080"/>
              <w:right w:val="single" w:sz="6" w:space="0" w:color="000000"/>
            </w:tcBorders>
            <w:tcMar>
              <w:top w:w="15" w:type="dxa"/>
              <w:left w:w="15" w:type="dxa"/>
              <w:bottom w:w="15" w:type="dxa"/>
              <w:right w:w="15" w:type="dxa"/>
            </w:tcMar>
          </w:tcPr>
          <w:p w:rsidR="00B21070" w:rsidRDefault="004F7871">
            <w:pPr>
              <w:jc w:val="center"/>
            </w:pPr>
            <w:r>
              <w:t>BS</w:t>
            </w:r>
          </w:p>
        </w:tc>
        <w:tc>
          <w:tcPr>
            <w:tcW w:w="0" w:type="auto"/>
            <w:tcBorders>
              <w:left w:val="inset" w:sz="6" w:space="0" w:color="808080"/>
              <w:right w:val="single" w:sz="6" w:space="0" w:color="000000"/>
            </w:tcBorders>
            <w:tcMar>
              <w:top w:w="15" w:type="dxa"/>
              <w:left w:w="15" w:type="dxa"/>
              <w:bottom w:w="15" w:type="dxa"/>
              <w:right w:w="15" w:type="dxa"/>
            </w:tcMar>
          </w:tcPr>
          <w:p w:rsidR="00B21070" w:rsidRDefault="004F7871">
            <w:pPr>
              <w:jc w:val="center"/>
            </w:pPr>
            <w:r>
              <w:t>05/1992</w:t>
            </w:r>
          </w:p>
        </w:tc>
        <w:tc>
          <w:tcPr>
            <w:tcW w:w="0" w:type="auto"/>
            <w:tcBorders>
              <w:left w:val="inset" w:sz="6" w:space="0" w:color="808080"/>
            </w:tcBorders>
            <w:tcMar>
              <w:top w:w="15" w:type="dxa"/>
              <w:left w:w="15" w:type="dxa"/>
              <w:bottom w:w="15" w:type="dxa"/>
              <w:right w:w="15" w:type="dxa"/>
            </w:tcMar>
          </w:tcPr>
          <w:p w:rsidR="00B21070" w:rsidRDefault="004F7871">
            <w:r>
              <w:t>Chemistry</w:t>
            </w:r>
          </w:p>
        </w:tc>
      </w:tr>
      <w:tr w:rsidR="00B21070">
        <w:tc>
          <w:tcPr>
            <w:tcW w:w="0" w:type="auto"/>
            <w:tcBorders>
              <w:right w:val="single" w:sz="6" w:space="0" w:color="000000"/>
            </w:tcBorders>
            <w:tcMar>
              <w:top w:w="15" w:type="dxa"/>
              <w:left w:w="15" w:type="dxa"/>
              <w:bottom w:w="15" w:type="dxa"/>
              <w:right w:w="15" w:type="dxa"/>
            </w:tcMar>
          </w:tcPr>
          <w:p w:rsidR="00B21070" w:rsidRDefault="004F7871">
            <w:r>
              <w:t xml:space="preserve">Montana State University, Bozeman, MT </w:t>
            </w:r>
          </w:p>
        </w:tc>
        <w:tc>
          <w:tcPr>
            <w:tcW w:w="0" w:type="auto"/>
            <w:tcBorders>
              <w:left w:val="inset" w:sz="6" w:space="0" w:color="808080"/>
              <w:right w:val="single" w:sz="6" w:space="0" w:color="000000"/>
            </w:tcBorders>
            <w:tcMar>
              <w:top w:w="15" w:type="dxa"/>
              <w:left w:w="15" w:type="dxa"/>
              <w:bottom w:w="15" w:type="dxa"/>
              <w:right w:w="15" w:type="dxa"/>
            </w:tcMar>
          </w:tcPr>
          <w:p w:rsidR="00B21070" w:rsidRDefault="004F7871">
            <w:pPr>
              <w:jc w:val="center"/>
            </w:pPr>
            <w:r>
              <w:t>PHD</w:t>
            </w:r>
          </w:p>
        </w:tc>
        <w:tc>
          <w:tcPr>
            <w:tcW w:w="0" w:type="auto"/>
            <w:tcBorders>
              <w:left w:val="inset" w:sz="6" w:space="0" w:color="808080"/>
              <w:right w:val="single" w:sz="6" w:space="0" w:color="000000"/>
            </w:tcBorders>
            <w:tcMar>
              <w:top w:w="15" w:type="dxa"/>
              <w:left w:w="15" w:type="dxa"/>
              <w:bottom w:w="15" w:type="dxa"/>
              <w:right w:w="15" w:type="dxa"/>
            </w:tcMar>
          </w:tcPr>
          <w:p w:rsidR="00B21070" w:rsidRDefault="004F7871">
            <w:pPr>
              <w:jc w:val="center"/>
            </w:pPr>
            <w:r>
              <w:t>05/1998</w:t>
            </w:r>
          </w:p>
        </w:tc>
        <w:tc>
          <w:tcPr>
            <w:tcW w:w="0" w:type="auto"/>
            <w:tcBorders>
              <w:left w:val="inset" w:sz="6" w:space="0" w:color="808080"/>
            </w:tcBorders>
            <w:tcMar>
              <w:top w:w="15" w:type="dxa"/>
              <w:left w:w="15" w:type="dxa"/>
              <w:bottom w:w="15" w:type="dxa"/>
              <w:right w:w="15" w:type="dxa"/>
            </w:tcMar>
          </w:tcPr>
          <w:p w:rsidR="00B21070" w:rsidRDefault="004F7871">
            <w:r>
              <w:t>Chemistry</w:t>
            </w:r>
          </w:p>
        </w:tc>
      </w:tr>
    </w:tbl>
    <w:p w:rsidR="00B21070" w:rsidRDefault="004F7871">
      <w:pPr>
        <w:pStyle w:val="Heading3"/>
      </w:pPr>
      <w:r>
        <w:rPr>
          <w:rFonts w:ascii="Arial" w:eastAsia="Arial" w:hAnsi="Arial" w:cs="Arial"/>
          <w:sz w:val="26"/>
          <w:szCs w:val="26"/>
        </w:rPr>
        <w:t>A. Personal Statement</w:t>
      </w:r>
    </w:p>
    <w:p w:rsidR="00B21070" w:rsidRDefault="004F7871">
      <w:pPr>
        <w:spacing w:before="220" w:after="220"/>
      </w:pPr>
      <w:r>
        <w:t>I have extensive experience and training in synthetic chemistry, structure activity relationship studies, synthetic process development and optimization, process safety, project management, cGMP and ICH-Q7A guidelines, contract manufacturing (negotiations, project management) and quality audits. I have experience with many API classes including: peptide, oligonucleotide, opiate, glycoside, heterocyclic, and various immune modulating substances (Toll receptor agonists/antagonists). My various positions have required that I take on many responsibilities in order to meet aggressive timelines and contain project cost. I have supported many projects through the preparation of new tools, such as fluorescent derivatives or advanced materials that could be easily manipulated for radio-label PK/ADME investigations and mechanism of action (MOA) studies including many QS-21 derivatives, TLR-4 agonists and antagonists, among other immonomodulatory compounds. Perhaps my most important contributions are to the GMP synthesis of TLR ligands RC-529, CRX-527 adn CRX-601. I designed and implemented a novel synthesis of these compounds for preclinical evaluation then managed the production of the processes at a contractor for further clinical evaluation (CRX-527 and CRX-601) and commercialization (RC-529).</w:t>
      </w:r>
    </w:p>
    <w:p w:rsidR="00B21070" w:rsidRDefault="004F7871">
      <w:pPr>
        <w:spacing w:before="220" w:after="220"/>
      </w:pPr>
      <w:r>
        <w:t xml:space="preserve">My career has encompassed many aspects of synthetic and biologic product development. In the past few </w:t>
      </w:r>
      <w:proofErr w:type="gramStart"/>
      <w:r>
        <w:t>years</w:t>
      </w:r>
      <w:proofErr w:type="gramEnd"/>
      <w:r>
        <w:t xml:space="preserve"> I have shifted from a corporate position to academia allowing me to use my knowledge and expertise in new and exciting areas of research.</w:t>
      </w:r>
    </w:p>
    <w:p w:rsidR="00EE7CB9" w:rsidRPr="00EE7CB9" w:rsidRDefault="00EE7CB9">
      <w:pPr>
        <w:spacing w:before="220" w:after="220"/>
        <w:rPr>
          <w:b/>
        </w:rPr>
      </w:pPr>
      <w:r>
        <w:rPr>
          <w:b/>
        </w:rPr>
        <w:t>Select Publications:</w:t>
      </w:r>
    </w:p>
    <w:p w:rsidR="00EE7CB9" w:rsidRDefault="00EE7CB9" w:rsidP="00EE7CB9">
      <w:pPr>
        <w:pStyle w:val="citationUlliParagraph"/>
        <w:numPr>
          <w:ilvl w:val="0"/>
          <w:numId w:val="1"/>
        </w:numPr>
        <w:spacing w:before="220"/>
      </w:pPr>
      <w:r>
        <w:t>Alyson J Smith</w:t>
      </w:r>
      <w:r>
        <w:t>,  Shannon Miller,  Cassandra Buhl,  Robert Child,  Margaret Whitacre,  Roman Schoener,  George Ettenger, David Burkhart,  Kendal Ryter and  Jay T Evans</w:t>
      </w:r>
      <w:r>
        <w:t xml:space="preserve">.  </w:t>
      </w:r>
      <w:r>
        <w:t xml:space="preserve">Species-specific structural requirements of alpha-branched trehalose </w:t>
      </w:r>
      <w:proofErr w:type="spellStart"/>
      <w:r>
        <w:t>diester</w:t>
      </w:r>
      <w:proofErr w:type="spellEnd"/>
      <w:r>
        <w:t xml:space="preserve"> </w:t>
      </w:r>
      <w:proofErr w:type="spellStart"/>
      <w:r>
        <w:t>Mincle</w:t>
      </w:r>
      <w:proofErr w:type="spellEnd"/>
      <w:r>
        <w:t xml:space="preserve"> agonists</w:t>
      </w:r>
      <w:r>
        <w:t xml:space="preserve">. </w:t>
      </w:r>
      <w:r>
        <w:t xml:space="preserve">Front. </w:t>
      </w:r>
      <w:proofErr w:type="spellStart"/>
      <w:r>
        <w:t>Immunol</w:t>
      </w:r>
      <w:proofErr w:type="spellEnd"/>
      <w:r>
        <w:t>. - Vaccines and Molecular Therapeutics</w:t>
      </w:r>
      <w:r>
        <w:t xml:space="preserve">. </w:t>
      </w:r>
      <w:r>
        <w:t>Submitted on: 26 Jun 2018</w:t>
      </w:r>
      <w:r>
        <w:t>.</w:t>
      </w:r>
    </w:p>
    <w:p w:rsidR="00B21070" w:rsidRDefault="004F7871">
      <w:pPr>
        <w:pStyle w:val="citationUlliParagraph"/>
        <w:numPr>
          <w:ilvl w:val="0"/>
          <w:numId w:val="1"/>
        </w:numPr>
        <w:spacing w:before="220"/>
      </w:pPr>
      <w:r>
        <w:t xml:space="preserve">Smith AJ, Graves B, Child R, Rice PJ, Ma Z, Lowman DW, Ensley HE, Ryter KT, Evans JT, Williams DL. Immunoregulatory Activity of the Natural Product Laminarin Varies Widely as a Result of Its Physical Properties. J Immunol. 2018 Jan 15;200(2):788-799. PubMed PMID: </w:t>
      </w:r>
      <w:hyperlink r:id="rId5" w:history="1">
        <w:r>
          <w:rPr>
            <w:color w:val="0000EE"/>
            <w:u w:val="single"/>
          </w:rPr>
          <w:t>29246954</w:t>
        </w:r>
      </w:hyperlink>
      <w:r>
        <w:t xml:space="preserve">; PubMed Central PMCID: </w:t>
      </w:r>
      <w:hyperlink r:id="rId6" w:history="1">
        <w:r>
          <w:rPr>
            <w:color w:val="0000EE"/>
            <w:u w:val="single"/>
          </w:rPr>
          <w:t>PMC5760317</w:t>
        </w:r>
      </w:hyperlink>
      <w:r>
        <w:t xml:space="preserve">. </w:t>
      </w:r>
    </w:p>
    <w:p w:rsidR="00B21070" w:rsidRDefault="004F7871">
      <w:pPr>
        <w:pStyle w:val="citationUlliParagraph"/>
        <w:numPr>
          <w:ilvl w:val="0"/>
          <w:numId w:val="1"/>
        </w:numPr>
      </w:pPr>
      <w:r>
        <w:t xml:space="preserve">Khalaf JK, Bowen WS, Bazin HG, Ryter KT, Livesay MT, Ward JR, Evans JT, Johnson DA. Characterization of TRIF selectivity in the AGP class of lipid A mimetics: role of secondary lipid chains. Bioorg Med Chem Lett. 2015 Feb 1;25(3):547-53. PubMed PMID: </w:t>
      </w:r>
      <w:hyperlink r:id="rId7" w:history="1">
        <w:r>
          <w:rPr>
            <w:color w:val="0000EE"/>
            <w:u w:val="single"/>
          </w:rPr>
          <w:t>25553892</w:t>
        </w:r>
      </w:hyperlink>
      <w:r>
        <w:t xml:space="preserve">; PubMed Central PMCID: </w:t>
      </w:r>
      <w:hyperlink r:id="rId8" w:history="1">
        <w:r>
          <w:rPr>
            <w:color w:val="0000EE"/>
            <w:u w:val="single"/>
          </w:rPr>
          <w:t>PMC4330088</w:t>
        </w:r>
      </w:hyperlink>
      <w:r>
        <w:t xml:space="preserve">. </w:t>
      </w:r>
    </w:p>
    <w:p w:rsidR="00B21070" w:rsidRDefault="004F7871">
      <w:pPr>
        <w:pStyle w:val="citationUlliParagraph"/>
        <w:numPr>
          <w:ilvl w:val="0"/>
          <w:numId w:val="1"/>
        </w:numPr>
      </w:pPr>
      <w:r>
        <w:t xml:space="preserve">Bazin HG, Murray TJ, Bowen WS, Mozaffarian A, Fling SP, Bess LS, Livesay MT, Arnold JS, Johnson CL, Ryter KT, Cluff CW, Evans JT, Johnson DA. The 'Ethereal' nature of TLR4 agonism and antagonism in the AGP class of lipid A mimetics. Bioorg Med Chem Lett. 2008 Oct 15;18(20):5350-4. PubMed PMID: </w:t>
      </w:r>
      <w:hyperlink r:id="rId9" w:history="1">
        <w:r>
          <w:rPr>
            <w:color w:val="0000EE"/>
            <w:u w:val="single"/>
          </w:rPr>
          <w:t>18835160</w:t>
        </w:r>
      </w:hyperlink>
      <w:r>
        <w:t xml:space="preserve">. </w:t>
      </w:r>
    </w:p>
    <w:p w:rsidR="00B21070" w:rsidRDefault="004F7871">
      <w:pPr>
        <w:pStyle w:val="citationUlliParagraph"/>
        <w:numPr>
          <w:ilvl w:val="0"/>
          <w:numId w:val="1"/>
        </w:numPr>
        <w:spacing w:after="220"/>
      </w:pPr>
      <w:r>
        <w:lastRenderedPageBreak/>
        <w:t>Ryter KT, Bazin HG, Johnson DA. New synthesis of glycolipid immunostimulants RC-529 and CRX-524. Bioorganic &amp; medicinal chemistry letters. 2007; 17:5082.</w:t>
      </w:r>
    </w:p>
    <w:p w:rsidR="00B21070" w:rsidRDefault="004F7871">
      <w:pPr>
        <w:pStyle w:val="Heading3"/>
      </w:pPr>
      <w:r>
        <w:rPr>
          <w:rFonts w:ascii="Arial" w:eastAsia="Arial" w:hAnsi="Arial" w:cs="Arial"/>
          <w:sz w:val="26"/>
          <w:szCs w:val="26"/>
        </w:rPr>
        <w:t>B. Positions and Honors</w:t>
      </w:r>
    </w:p>
    <w:p w:rsidR="00B21070" w:rsidRDefault="004F7871">
      <w:pPr>
        <w:pStyle w:val="h3underline"/>
      </w:pPr>
      <w:r>
        <w:rPr>
          <w:rFonts w:ascii="Arial" w:eastAsia="Arial" w:hAnsi="Arial" w:cs="Arial"/>
          <w:sz w:val="26"/>
          <w:szCs w:val="26"/>
        </w:rPr>
        <w:t>Positions and Employment</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270"/>
      </w:tblGrid>
      <w:tr w:rsidR="00B21070">
        <w:tc>
          <w:tcPr>
            <w:tcW w:w="1530" w:type="dxa"/>
            <w:tcMar>
              <w:top w:w="15" w:type="dxa"/>
              <w:left w:w="15" w:type="dxa"/>
              <w:bottom w:w="15" w:type="dxa"/>
              <w:right w:w="15" w:type="dxa"/>
            </w:tcMar>
          </w:tcPr>
          <w:p w:rsidR="00B21070" w:rsidRDefault="004F7871">
            <w:r>
              <w:t>1998 - 1999</w:t>
            </w:r>
          </w:p>
        </w:tc>
        <w:tc>
          <w:tcPr>
            <w:tcW w:w="0" w:type="auto"/>
            <w:tcMar>
              <w:top w:w="15" w:type="dxa"/>
              <w:left w:w="15" w:type="dxa"/>
              <w:bottom w:w="15" w:type="dxa"/>
              <w:right w:w="15" w:type="dxa"/>
            </w:tcMar>
          </w:tcPr>
          <w:p w:rsidR="00B21070" w:rsidRDefault="004F7871">
            <w:r>
              <w:t>Senior Research Scientist, AMRI, Albany , NY</w:t>
            </w:r>
          </w:p>
        </w:tc>
      </w:tr>
      <w:tr w:rsidR="00B21070">
        <w:tc>
          <w:tcPr>
            <w:tcW w:w="1530" w:type="dxa"/>
            <w:tcMar>
              <w:top w:w="15" w:type="dxa"/>
              <w:left w:w="15" w:type="dxa"/>
              <w:bottom w:w="15" w:type="dxa"/>
              <w:right w:w="15" w:type="dxa"/>
            </w:tcMar>
          </w:tcPr>
          <w:p w:rsidR="00B21070" w:rsidRDefault="004F7871">
            <w:r>
              <w:t>1999 - 2002</w:t>
            </w:r>
          </w:p>
        </w:tc>
        <w:tc>
          <w:tcPr>
            <w:tcW w:w="0" w:type="auto"/>
            <w:tcMar>
              <w:top w:w="15" w:type="dxa"/>
              <w:left w:w="15" w:type="dxa"/>
              <w:bottom w:w="15" w:type="dxa"/>
              <w:right w:w="15" w:type="dxa"/>
            </w:tcMar>
          </w:tcPr>
          <w:p w:rsidR="00B21070" w:rsidRDefault="004F7871">
            <w:r>
              <w:t>Senior Research Scientist I, AMRI, Albany, NY</w:t>
            </w:r>
          </w:p>
        </w:tc>
      </w:tr>
      <w:tr w:rsidR="00B21070">
        <w:tc>
          <w:tcPr>
            <w:tcW w:w="1530" w:type="dxa"/>
            <w:tcMar>
              <w:top w:w="15" w:type="dxa"/>
              <w:left w:w="15" w:type="dxa"/>
              <w:bottom w:w="15" w:type="dxa"/>
              <w:right w:w="15" w:type="dxa"/>
            </w:tcMar>
          </w:tcPr>
          <w:p w:rsidR="00B21070" w:rsidRDefault="004F7871">
            <w:r>
              <w:t>2002 - 2003</w:t>
            </w:r>
          </w:p>
        </w:tc>
        <w:tc>
          <w:tcPr>
            <w:tcW w:w="0" w:type="auto"/>
            <w:tcMar>
              <w:top w:w="15" w:type="dxa"/>
              <w:left w:w="15" w:type="dxa"/>
              <w:bottom w:w="15" w:type="dxa"/>
              <w:right w:w="15" w:type="dxa"/>
            </w:tcMar>
          </w:tcPr>
          <w:p w:rsidR="00B21070" w:rsidRDefault="004F7871">
            <w:r>
              <w:t>Senior Research Scientist II, AMRI, Albany , NY</w:t>
            </w:r>
          </w:p>
        </w:tc>
      </w:tr>
      <w:tr w:rsidR="00B21070">
        <w:tc>
          <w:tcPr>
            <w:tcW w:w="1530" w:type="dxa"/>
            <w:tcMar>
              <w:top w:w="15" w:type="dxa"/>
              <w:left w:w="15" w:type="dxa"/>
              <w:bottom w:w="15" w:type="dxa"/>
              <w:right w:w="15" w:type="dxa"/>
            </w:tcMar>
          </w:tcPr>
          <w:p w:rsidR="00B21070" w:rsidRDefault="004F7871">
            <w:r>
              <w:t>2003 - 2008</w:t>
            </w:r>
          </w:p>
        </w:tc>
        <w:tc>
          <w:tcPr>
            <w:tcW w:w="0" w:type="auto"/>
            <w:tcMar>
              <w:top w:w="15" w:type="dxa"/>
              <w:left w:w="15" w:type="dxa"/>
              <w:bottom w:w="15" w:type="dxa"/>
              <w:right w:w="15" w:type="dxa"/>
            </w:tcMar>
          </w:tcPr>
          <w:p w:rsidR="00B21070" w:rsidRDefault="004F7871">
            <w:r>
              <w:t>Process Development Scientist II, Corixa, Hamilton, MT</w:t>
            </w:r>
          </w:p>
        </w:tc>
      </w:tr>
      <w:tr w:rsidR="00B21070">
        <w:tc>
          <w:tcPr>
            <w:tcW w:w="1530" w:type="dxa"/>
            <w:tcMar>
              <w:top w:w="15" w:type="dxa"/>
              <w:left w:w="15" w:type="dxa"/>
              <w:bottom w:w="15" w:type="dxa"/>
              <w:right w:w="15" w:type="dxa"/>
            </w:tcMar>
          </w:tcPr>
          <w:p w:rsidR="00B21070" w:rsidRDefault="004F7871">
            <w:r>
              <w:t>2005 - 2008</w:t>
            </w:r>
          </w:p>
        </w:tc>
        <w:tc>
          <w:tcPr>
            <w:tcW w:w="0" w:type="auto"/>
            <w:tcMar>
              <w:top w:w="15" w:type="dxa"/>
              <w:left w:w="15" w:type="dxa"/>
              <w:bottom w:w="15" w:type="dxa"/>
              <w:right w:w="15" w:type="dxa"/>
            </w:tcMar>
          </w:tcPr>
          <w:p w:rsidR="00B21070" w:rsidRDefault="004F7871">
            <w:r>
              <w:t>Principal Scientist, GlaxoSmithKline, Hamilton, MT</w:t>
            </w:r>
          </w:p>
        </w:tc>
      </w:tr>
      <w:tr w:rsidR="00B21070">
        <w:tc>
          <w:tcPr>
            <w:tcW w:w="1530" w:type="dxa"/>
            <w:tcMar>
              <w:top w:w="15" w:type="dxa"/>
              <w:left w:w="15" w:type="dxa"/>
              <w:bottom w:w="15" w:type="dxa"/>
              <w:right w:w="15" w:type="dxa"/>
            </w:tcMar>
          </w:tcPr>
          <w:p w:rsidR="00B21070" w:rsidRDefault="004F7871">
            <w:r>
              <w:t>2008 - 2015</w:t>
            </w:r>
          </w:p>
        </w:tc>
        <w:tc>
          <w:tcPr>
            <w:tcW w:w="0" w:type="auto"/>
            <w:tcMar>
              <w:top w:w="15" w:type="dxa"/>
              <w:left w:w="15" w:type="dxa"/>
              <w:bottom w:w="15" w:type="dxa"/>
              <w:right w:w="15" w:type="dxa"/>
            </w:tcMar>
          </w:tcPr>
          <w:p w:rsidR="00B21070" w:rsidRDefault="004F7871">
            <w:r>
              <w:t>Investigator, GlaxoSmithKline, Hamilton, MT</w:t>
            </w:r>
          </w:p>
        </w:tc>
      </w:tr>
      <w:tr w:rsidR="00B21070">
        <w:tc>
          <w:tcPr>
            <w:tcW w:w="1530" w:type="dxa"/>
            <w:tcMar>
              <w:top w:w="15" w:type="dxa"/>
              <w:left w:w="15" w:type="dxa"/>
              <w:bottom w:w="15" w:type="dxa"/>
              <w:right w:w="15" w:type="dxa"/>
            </w:tcMar>
          </w:tcPr>
          <w:p w:rsidR="00B21070" w:rsidRDefault="004F7871">
            <w:r>
              <w:t xml:space="preserve">2016 - </w:t>
            </w:r>
          </w:p>
        </w:tc>
        <w:tc>
          <w:tcPr>
            <w:tcW w:w="0" w:type="auto"/>
            <w:tcMar>
              <w:top w:w="15" w:type="dxa"/>
              <w:left w:w="15" w:type="dxa"/>
              <w:bottom w:w="15" w:type="dxa"/>
              <w:right w:w="15" w:type="dxa"/>
            </w:tcMar>
          </w:tcPr>
          <w:p w:rsidR="00B21070" w:rsidRDefault="004F7871">
            <w:r>
              <w:t>Associate Research Faculty, University of Montana, Missoula , MT</w:t>
            </w:r>
          </w:p>
        </w:tc>
      </w:tr>
      <w:tr w:rsidR="00B21070">
        <w:tc>
          <w:tcPr>
            <w:tcW w:w="1530" w:type="dxa"/>
            <w:tcMar>
              <w:top w:w="15" w:type="dxa"/>
              <w:left w:w="15" w:type="dxa"/>
              <w:bottom w:w="15" w:type="dxa"/>
              <w:right w:w="15" w:type="dxa"/>
            </w:tcMar>
          </w:tcPr>
          <w:p w:rsidR="00B21070" w:rsidRDefault="004F7871">
            <w:r>
              <w:t xml:space="preserve">2016 - </w:t>
            </w:r>
          </w:p>
        </w:tc>
        <w:tc>
          <w:tcPr>
            <w:tcW w:w="0" w:type="auto"/>
            <w:tcMar>
              <w:top w:w="15" w:type="dxa"/>
              <w:left w:w="15" w:type="dxa"/>
              <w:bottom w:w="15" w:type="dxa"/>
              <w:right w:w="15" w:type="dxa"/>
            </w:tcMar>
          </w:tcPr>
          <w:p w:rsidR="00B21070" w:rsidRDefault="004F7871">
            <w:r>
              <w:t>Co-founder, Board Chair, VP Manufacturing and Development, Inimmune, Missoula, MT</w:t>
            </w:r>
          </w:p>
        </w:tc>
      </w:tr>
    </w:tbl>
    <w:p w:rsidR="00B21070" w:rsidRDefault="004F7871">
      <w:pPr>
        <w:pStyle w:val="h3underline"/>
      </w:pPr>
      <w:r>
        <w:rPr>
          <w:rFonts w:ascii="Arial" w:eastAsia="Arial" w:hAnsi="Arial" w:cs="Arial"/>
          <w:sz w:val="26"/>
          <w:szCs w:val="26"/>
        </w:rPr>
        <w:t>Other Experience and Professional Memberships</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270"/>
      </w:tblGrid>
      <w:tr w:rsidR="00B21070">
        <w:tc>
          <w:tcPr>
            <w:tcW w:w="1530" w:type="dxa"/>
            <w:tcMar>
              <w:top w:w="15" w:type="dxa"/>
              <w:left w:w="15" w:type="dxa"/>
              <w:bottom w:w="15" w:type="dxa"/>
              <w:right w:w="15" w:type="dxa"/>
            </w:tcMar>
          </w:tcPr>
          <w:p w:rsidR="00B21070" w:rsidRDefault="004F7871">
            <w:r>
              <w:t xml:space="preserve">1991 - </w:t>
            </w:r>
          </w:p>
        </w:tc>
        <w:tc>
          <w:tcPr>
            <w:tcW w:w="0" w:type="auto"/>
            <w:tcMar>
              <w:top w:w="15" w:type="dxa"/>
              <w:left w:w="15" w:type="dxa"/>
              <w:bottom w:w="15" w:type="dxa"/>
              <w:right w:w="15" w:type="dxa"/>
            </w:tcMar>
          </w:tcPr>
          <w:p w:rsidR="00B21070" w:rsidRDefault="004F7871">
            <w:r>
              <w:t>Member, American Chemical Society</w:t>
            </w:r>
          </w:p>
        </w:tc>
      </w:tr>
    </w:tbl>
    <w:p w:rsidR="00B21070" w:rsidRDefault="004F7871">
      <w:pPr>
        <w:pStyle w:val="h3underline"/>
      </w:pPr>
      <w:r>
        <w:rPr>
          <w:rFonts w:ascii="Arial" w:eastAsia="Arial" w:hAnsi="Arial" w:cs="Arial"/>
          <w:sz w:val="26"/>
          <w:szCs w:val="26"/>
        </w:rPr>
        <w:t>Honors</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270"/>
      </w:tblGrid>
      <w:tr w:rsidR="00B21070">
        <w:tc>
          <w:tcPr>
            <w:tcW w:w="1530" w:type="dxa"/>
            <w:tcMar>
              <w:top w:w="15" w:type="dxa"/>
              <w:left w:w="15" w:type="dxa"/>
              <w:bottom w:w="15" w:type="dxa"/>
              <w:right w:w="15" w:type="dxa"/>
            </w:tcMar>
          </w:tcPr>
          <w:p w:rsidR="00B21070" w:rsidRDefault="004F7871">
            <w:r>
              <w:t>2012</w:t>
            </w:r>
          </w:p>
        </w:tc>
        <w:tc>
          <w:tcPr>
            <w:tcW w:w="0" w:type="auto"/>
            <w:tcMar>
              <w:top w:w="15" w:type="dxa"/>
              <w:left w:w="15" w:type="dxa"/>
              <w:bottom w:w="15" w:type="dxa"/>
              <w:right w:w="15" w:type="dxa"/>
            </w:tcMar>
          </w:tcPr>
          <w:p w:rsidR="00B21070" w:rsidRDefault="004F7871">
            <w:r>
              <w:t>Gold Award, GSK</w:t>
            </w:r>
          </w:p>
        </w:tc>
      </w:tr>
      <w:tr w:rsidR="00B21070">
        <w:tc>
          <w:tcPr>
            <w:tcW w:w="1530" w:type="dxa"/>
            <w:tcMar>
              <w:top w:w="15" w:type="dxa"/>
              <w:left w:w="15" w:type="dxa"/>
              <w:bottom w:w="15" w:type="dxa"/>
              <w:right w:w="15" w:type="dxa"/>
            </w:tcMar>
          </w:tcPr>
          <w:p w:rsidR="00B21070" w:rsidRDefault="004F7871">
            <w:r>
              <w:t>2014</w:t>
            </w:r>
          </w:p>
        </w:tc>
        <w:tc>
          <w:tcPr>
            <w:tcW w:w="0" w:type="auto"/>
            <w:tcMar>
              <w:top w:w="15" w:type="dxa"/>
              <w:left w:w="15" w:type="dxa"/>
              <w:bottom w:w="15" w:type="dxa"/>
              <w:right w:w="15" w:type="dxa"/>
            </w:tcMar>
          </w:tcPr>
          <w:p w:rsidR="00B21070" w:rsidRDefault="004F7871">
            <w:r>
              <w:t>Silver Award, GSK</w:t>
            </w:r>
          </w:p>
        </w:tc>
      </w:tr>
    </w:tbl>
    <w:p w:rsidR="00B21070" w:rsidRDefault="004F7871">
      <w:pPr>
        <w:pStyle w:val="Heading3"/>
      </w:pPr>
      <w:r>
        <w:rPr>
          <w:rFonts w:ascii="Arial" w:eastAsia="Arial" w:hAnsi="Arial" w:cs="Arial"/>
          <w:sz w:val="26"/>
          <w:szCs w:val="26"/>
        </w:rPr>
        <w:t>C. Contribution to Science</w:t>
      </w:r>
    </w:p>
    <w:p w:rsidR="00B21070" w:rsidRDefault="004F7871">
      <w:pPr>
        <w:numPr>
          <w:ilvl w:val="0"/>
          <w:numId w:val="2"/>
        </w:numPr>
        <w:spacing w:before="220" w:after="220"/>
        <w:ind w:left="375"/>
      </w:pPr>
      <w:r>
        <w:t>I invented a novel vanadyl reagent used for radical initiated cyclopentanulations</w:t>
      </w:r>
    </w:p>
    <w:p w:rsidR="00B21070" w:rsidRDefault="004F7871">
      <w:pPr>
        <w:pStyle w:val="citationUlliParagraph"/>
        <w:numPr>
          <w:ilvl w:val="1"/>
          <w:numId w:val="2"/>
        </w:numPr>
        <w:ind w:left="750"/>
      </w:pPr>
      <w:r>
        <w:t>Ryter KT, Livinghouse T. Dichloro(2,2,2-trifluoroethoxy)oxovanadium(V). A Remarkably Effective Reagent for Promoting One-Electron Oxidative Cyclization and Unsymmetrical Coupling of Silyl Enol Ethers. Journal of the American Chemical Society. 1998; 120:2858.</w:t>
      </w:r>
    </w:p>
    <w:p w:rsidR="00B21070" w:rsidRDefault="004F7871">
      <w:pPr>
        <w:numPr>
          <w:ilvl w:val="0"/>
          <w:numId w:val="2"/>
        </w:numPr>
        <w:spacing w:before="220" w:after="220"/>
        <w:ind w:left="375"/>
      </w:pPr>
      <w:r>
        <w:t>I have developed a large scale process for the production of aminoalkyl glucosaminide 4-phosphates (AGP's) that has facilitated commercial production and supply, and clinical trials supplies. This effort constituted the design of a novel process, process development including identification of critical parameters. identification and control of process associated risk, transfer of the process to a contract manufacturer (CMO) and supervision of cGMP production at a CMO.</w:t>
      </w:r>
      <w:r w:rsidR="004836F0">
        <w:t xml:space="preserve"> Most recently I am the primary author of a new patent application describing a novel TLR4 ligand.</w:t>
      </w:r>
    </w:p>
    <w:p w:rsidR="00B21070" w:rsidRDefault="004F7871">
      <w:pPr>
        <w:pStyle w:val="citationUlliParagraph"/>
        <w:numPr>
          <w:ilvl w:val="1"/>
          <w:numId w:val="3"/>
        </w:numPr>
        <w:ind w:left="750"/>
      </w:pPr>
      <w:r>
        <w:t>Ryter KT, Bazin HG, Johnson DA. New synthesis of glycolipid immunostimulants RC-529 and CRX-524. Bioorganic &amp; medicinal chemistry letters. 2007; 17:5082.</w:t>
      </w:r>
    </w:p>
    <w:p w:rsidR="00B21070" w:rsidRDefault="004F7871">
      <w:pPr>
        <w:numPr>
          <w:ilvl w:val="0"/>
          <w:numId w:val="2"/>
        </w:numPr>
        <w:spacing w:before="220" w:after="220"/>
        <w:ind w:left="375"/>
      </w:pPr>
      <w:r>
        <w:t>I designed and synthesized tools for the elucidation of vaccine adjuvant mechanism of action studies. Vaccine adjuvants help epitope based vaccines illicit robust immune responses and understanding how they work and synergize is critical to creating an effective vaccine formulation. I have designed and synthesized fluorescent tocopherol, QS21 and TLR4 ligands that can be used in the same formulation for confocal microscopy and mechanism of action studies</w:t>
      </w:r>
    </w:p>
    <w:p w:rsidR="00B21070" w:rsidRDefault="004F7871">
      <w:pPr>
        <w:pStyle w:val="citationUlliParagraph"/>
        <w:numPr>
          <w:ilvl w:val="1"/>
          <w:numId w:val="4"/>
        </w:numPr>
        <w:ind w:left="750"/>
      </w:pPr>
      <w:r>
        <w:t xml:space="preserve">Didierlaurent AM, Collignon C, Bourguignon P, Wouters S, Fierens K, Fochesato M, Dendouga N, Langlet C, Malissen B, Lambrecht BN, Garçon N, Van Mechelen M, Morel S. Enhancement of adaptive immunity by the human vaccine adjuvant AS01 depends on activated dendritic cells. J Immunol. 2014 Aug 15;193(4):1920-30. PubMed PMID: </w:t>
      </w:r>
      <w:hyperlink r:id="rId10" w:history="1">
        <w:r>
          <w:rPr>
            <w:color w:val="0000EE"/>
            <w:u w:val="single"/>
          </w:rPr>
          <w:t>25024381</w:t>
        </w:r>
      </w:hyperlink>
      <w:r>
        <w:t xml:space="preserve">. </w:t>
      </w:r>
    </w:p>
    <w:p w:rsidR="00B21070" w:rsidRDefault="004F7871">
      <w:pPr>
        <w:numPr>
          <w:ilvl w:val="0"/>
          <w:numId w:val="2"/>
        </w:numPr>
        <w:spacing w:before="220" w:after="220"/>
        <w:ind w:left="375"/>
      </w:pPr>
      <w:r>
        <w:t xml:space="preserve">My current work is focused on the discovery of novel C-type lectin receptor (CLR) agonits capable of </w:t>
      </w:r>
      <w:r w:rsidR="004836F0">
        <w:t>eliciting</w:t>
      </w:r>
      <w:r>
        <w:t xml:space="preserve"> a TH17 immune response for vaccine development against Mycobacterium tuberculosis. I am the project manager on BAA-NIAID-DAIT-NIHAI2013168.</w:t>
      </w:r>
      <w:r w:rsidR="004836F0">
        <w:t xml:space="preserve"> I am the primary author for two patent applications describing novel MINCLE active ligand scaffolds.</w:t>
      </w:r>
    </w:p>
    <w:p w:rsidR="00B21070" w:rsidRDefault="004F7871">
      <w:pPr>
        <w:pStyle w:val="Heading3"/>
      </w:pPr>
      <w:r>
        <w:rPr>
          <w:rFonts w:ascii="Arial" w:eastAsia="Arial" w:hAnsi="Arial" w:cs="Arial"/>
          <w:sz w:val="26"/>
          <w:szCs w:val="26"/>
        </w:rPr>
        <w:lastRenderedPageBreak/>
        <w:t>D. Additional Information: Research Support and/or Scholastic Performance</w:t>
      </w:r>
    </w:p>
    <w:p w:rsidR="00B21070" w:rsidRDefault="004F7871">
      <w:pPr>
        <w:pStyle w:val="h3underline"/>
      </w:pPr>
      <w:r>
        <w:rPr>
          <w:rFonts w:ascii="Arial" w:eastAsia="Arial" w:hAnsi="Arial" w:cs="Arial"/>
          <w:sz w:val="26"/>
          <w:szCs w:val="26"/>
        </w:rPr>
        <w:t>Ongoing Research Support</w:t>
      </w:r>
    </w:p>
    <w:p w:rsidR="00B21070" w:rsidRDefault="004F7871">
      <w:pPr>
        <w:pStyle w:val="sectionFundingfundDetailsmyncbiAwardawardID"/>
        <w:spacing w:line="300" w:lineRule="atLeast"/>
        <w:ind w:right="150"/>
      </w:pPr>
      <w:r>
        <w:t>BAA-NIAID-DAIT-NIHAI2013168, NIAID</w:t>
      </w:r>
    </w:p>
    <w:p w:rsidR="00B21070" w:rsidRDefault="004F7871">
      <w:pPr>
        <w:pStyle w:val="sectionFundingfundDetailsmyncbiAwardpiName"/>
        <w:spacing w:line="300" w:lineRule="atLeast"/>
        <w:ind w:left="300" w:right="300"/>
      </w:pPr>
      <w:r>
        <w:t xml:space="preserve">Evans (PI) </w:t>
      </w:r>
    </w:p>
    <w:p w:rsidR="00B21070" w:rsidRDefault="004F7871">
      <w:pPr>
        <w:spacing w:line="300" w:lineRule="atLeast"/>
      </w:pPr>
      <w:r>
        <w:t>09/30/14-09/30/19</w:t>
      </w:r>
    </w:p>
    <w:p w:rsidR="00B21070" w:rsidRDefault="004F7871">
      <w:pPr>
        <w:spacing w:line="300" w:lineRule="atLeast"/>
      </w:pPr>
      <w:r>
        <w:t>Innate Immune Receptors and Adjuvant Discovery: Identification of Novel Th17 inducing CTLR Agonists as Vaccine Adjuvants</w:t>
      </w:r>
    </w:p>
    <w:p w:rsidR="00B21070" w:rsidRDefault="004F7871">
      <w:pPr>
        <w:pStyle w:val="projectDescription"/>
        <w:spacing w:line="300" w:lineRule="atLeast"/>
      </w:pPr>
      <w:r>
        <w:t>The underlying goal of the project is to develop new, safe and effective family of CTLR-based vaccine adjuvants or adjuvant combinations that elicit protective Th17 immune responses when co-administered with a cognate antigen</w:t>
      </w:r>
    </w:p>
    <w:p w:rsidR="00B21070" w:rsidRDefault="004F7871">
      <w:pPr>
        <w:spacing w:after="270" w:line="300" w:lineRule="atLeast"/>
      </w:pPr>
      <w:r>
        <w:t>Role: Co-Investigator</w:t>
      </w:r>
    </w:p>
    <w:p w:rsidR="00E15810" w:rsidRDefault="00E15810">
      <w:pPr>
        <w:spacing w:after="270" w:line="300" w:lineRule="atLeast"/>
      </w:pPr>
      <w:r>
        <w:t xml:space="preserve">I have participated and collaborated on the drafting and submission of several Grant and NIAID Contract proposals over the past year. The following </w:t>
      </w:r>
      <w:proofErr w:type="gramStart"/>
      <w:r>
        <w:t>have been awarded</w:t>
      </w:r>
      <w:proofErr w:type="gramEnd"/>
      <w:r>
        <w:t xml:space="preserve"> and I will be participating in some capacity in the execution of the research:</w:t>
      </w:r>
    </w:p>
    <w:p w:rsidR="00E15810" w:rsidRPr="00E15810" w:rsidRDefault="00E15810" w:rsidP="00E15810">
      <w:pPr>
        <w:spacing w:line="300" w:lineRule="atLeast"/>
      </w:pPr>
      <w:r w:rsidRPr="00E15810">
        <w:t>R01AI138981-01 (Secor)</w:t>
      </w:r>
    </w:p>
    <w:p w:rsidR="00E15810" w:rsidRPr="00E15810" w:rsidRDefault="00E15810" w:rsidP="00E15810">
      <w:pPr>
        <w:spacing w:line="300" w:lineRule="atLeast"/>
      </w:pPr>
      <w:r w:rsidRPr="00E15810">
        <w:t>HHS-NIH-NIAID-BAA2017-1 (Levy</w:t>
      </w:r>
      <w:r w:rsidRPr="00E15810">
        <w:t xml:space="preserve">, Boston </w:t>
      </w:r>
      <w:proofErr w:type="spellStart"/>
      <w:r w:rsidRPr="00E15810">
        <w:t>Childrens</w:t>
      </w:r>
      <w:proofErr w:type="spellEnd"/>
      <w:r w:rsidRPr="00E15810">
        <w:t xml:space="preserve"> Hospital</w:t>
      </w:r>
      <w:r w:rsidRPr="00E15810">
        <w:t>)</w:t>
      </w:r>
    </w:p>
    <w:p w:rsidR="00E15810" w:rsidRPr="00E15810" w:rsidRDefault="00E15810" w:rsidP="00E15810">
      <w:pPr>
        <w:spacing w:line="300" w:lineRule="atLeast"/>
      </w:pPr>
      <w:r w:rsidRPr="00E15810">
        <w:t>HHSN2722018000048C (Evans)</w:t>
      </w:r>
    </w:p>
    <w:p w:rsidR="00E15810" w:rsidRPr="00E15810" w:rsidRDefault="00E15810" w:rsidP="00E15810">
      <w:pPr>
        <w:pStyle w:val="Default"/>
        <w:rPr>
          <w:rFonts w:ascii="Arial" w:hAnsi="Arial" w:cs="Arial"/>
          <w:sz w:val="22"/>
          <w:szCs w:val="22"/>
        </w:rPr>
      </w:pPr>
      <w:r w:rsidRPr="00E15810">
        <w:rPr>
          <w:rFonts w:ascii="Arial" w:hAnsi="Arial" w:cs="Arial"/>
          <w:sz w:val="22"/>
          <w:szCs w:val="22"/>
        </w:rPr>
        <w:t>CBSD COBRE Phase II PILOT (Ryter)</w:t>
      </w:r>
      <w:bookmarkStart w:id="0" w:name="_GoBack"/>
      <w:bookmarkEnd w:id="0"/>
    </w:p>
    <w:p w:rsidR="00B21070" w:rsidRDefault="004F7871">
      <w:pPr>
        <w:pStyle w:val="h3underline"/>
      </w:pPr>
      <w:r>
        <w:rPr>
          <w:rFonts w:ascii="Arial" w:eastAsia="Arial" w:hAnsi="Arial" w:cs="Arial"/>
          <w:sz w:val="26"/>
          <w:szCs w:val="26"/>
        </w:rPr>
        <w:t>Completed Research Support</w:t>
      </w:r>
    </w:p>
    <w:p w:rsidR="00B21070" w:rsidRDefault="004F7871">
      <w:pPr>
        <w:pStyle w:val="sectionFundingfundDetailsmyncbiAwardawardID"/>
        <w:spacing w:line="300" w:lineRule="atLeast"/>
        <w:ind w:right="150"/>
      </w:pPr>
      <w:r>
        <w:t>HHSN272200900008C/NO1-AI-8009, NIH/NIAID</w:t>
      </w:r>
    </w:p>
    <w:p w:rsidR="00B21070" w:rsidRDefault="004F7871">
      <w:pPr>
        <w:pStyle w:val="sectionFundingfundDetailsmyncbiAwardpiName"/>
        <w:spacing w:line="300" w:lineRule="atLeast"/>
        <w:ind w:left="300" w:right="300"/>
      </w:pPr>
      <w:r>
        <w:t xml:space="preserve">Johnson (PI) </w:t>
      </w:r>
    </w:p>
    <w:p w:rsidR="00B21070" w:rsidRDefault="004F7871">
      <w:pPr>
        <w:spacing w:line="300" w:lineRule="atLeast"/>
      </w:pPr>
      <w:r>
        <w:t>03/01/09-03/31/15</w:t>
      </w:r>
    </w:p>
    <w:p w:rsidR="00B21070" w:rsidRDefault="004F7871">
      <w:pPr>
        <w:spacing w:line="300" w:lineRule="atLeast"/>
      </w:pPr>
      <w:r>
        <w:t>Adjuvant Development Program</w:t>
      </w:r>
    </w:p>
    <w:p w:rsidR="00B21070" w:rsidRDefault="004F7871">
      <w:pPr>
        <w:pStyle w:val="projectDescription"/>
        <w:spacing w:line="300" w:lineRule="atLeast"/>
      </w:pPr>
      <w:r>
        <w:t xml:space="preserve">The goal of this contract is the development of an AGP adjuvant for use in a Rapid Acting Vaccine for influenza virus vaccine. </w:t>
      </w:r>
    </w:p>
    <w:p w:rsidR="00B21070" w:rsidRDefault="004F7871">
      <w:pPr>
        <w:spacing w:after="270" w:line="300" w:lineRule="atLeast"/>
      </w:pPr>
      <w:r>
        <w:t>Role: Co-Investigator</w:t>
      </w:r>
    </w:p>
    <w:sectPr w:rsidR="00B2107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70"/>
    <w:rsid w:val="000461F5"/>
    <w:rsid w:val="00123D45"/>
    <w:rsid w:val="00133CCF"/>
    <w:rsid w:val="00231766"/>
    <w:rsid w:val="004836F0"/>
    <w:rsid w:val="004F7871"/>
    <w:rsid w:val="00B21070"/>
    <w:rsid w:val="00E15810"/>
    <w:rsid w:val="00EE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0FDD8C"/>
  <w15:docId w15:val="{81E0A26E-B099-40EC-91EA-A1130663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rFonts w:ascii="Arial" w:eastAsia="Arial" w:hAnsi="Arial" w:cs="Arial"/>
      <w:sz w:val="22"/>
      <w:szCs w:val="22"/>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20" w:after="3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keheader">
    <w:name w:val="likeheader"/>
    <w:basedOn w:val="Normal"/>
    <w:pPr>
      <w:jc w:val="right"/>
    </w:pPr>
    <w:rPr>
      <w:sz w:val="16"/>
      <w:szCs w:val="16"/>
    </w:rPr>
  </w:style>
  <w:style w:type="paragraph" w:customStyle="1" w:styleId="h3center">
    <w:name w:val="h3_center"/>
    <w:basedOn w:val="Heading3"/>
    <w:pPr>
      <w:jc w:val="center"/>
    </w:pPr>
  </w:style>
  <w:style w:type="paragraph" w:customStyle="1" w:styleId="sectionDescription">
    <w:name w:val="sectionDescription"/>
    <w:basedOn w:val="Normal"/>
    <w:pPr>
      <w:spacing w:after="75"/>
    </w:pPr>
    <w:rPr>
      <w:sz w:val="16"/>
      <w:szCs w:val="16"/>
    </w:rPr>
  </w:style>
  <w:style w:type="table" w:customStyle="1" w:styleId="table">
    <w:name w:val="table"/>
    <w:tblPr>
      <w:tblCellMar>
        <w:top w:w="0" w:type="dxa"/>
        <w:left w:w="0" w:type="dxa"/>
        <w:bottom w:w="0" w:type="dxa"/>
        <w:right w:w="0" w:type="dxa"/>
      </w:tblCellMar>
    </w:tblPr>
  </w:style>
  <w:style w:type="paragraph" w:customStyle="1" w:styleId="sectionEducationsectionHeader">
    <w:name w:val="sectionEducation_sectionHeader"/>
    <w:basedOn w:val="Normal"/>
    <w:pPr>
      <w:pBdr>
        <w:top w:val="nil"/>
        <w:left w:val="nil"/>
        <w:bottom w:val="nil"/>
        <w:right w:val="nil"/>
      </w:pBdr>
    </w:pPr>
  </w:style>
  <w:style w:type="paragraph" w:customStyle="1" w:styleId="annotation">
    <w:name w:val="annotation"/>
    <w:basedOn w:val="Normal"/>
  </w:style>
  <w:style w:type="character" w:customStyle="1" w:styleId="citationUlli">
    <w:name w:val="citationUl_li"/>
    <w:basedOn w:val="DefaultParagraphFont"/>
    <w:rPr>
      <w:bdr w:val="nil"/>
    </w:rPr>
  </w:style>
  <w:style w:type="paragraph" w:customStyle="1" w:styleId="citationUlliParagraph">
    <w:name w:val="citationUl_li Paragraph"/>
    <w:basedOn w:val="Normal"/>
    <w:pPr>
      <w:spacing w:after="75"/>
    </w:pPr>
  </w:style>
  <w:style w:type="paragraph" w:customStyle="1" w:styleId="h3underline">
    <w:name w:val="h3_underline"/>
    <w:basedOn w:val="Heading3"/>
    <w:rPr>
      <w:u w:val="single"/>
    </w:rPr>
  </w:style>
  <w:style w:type="paragraph" w:customStyle="1" w:styleId="FundingListfundDetails">
    <w:name w:val="FundingList_fundDetails"/>
    <w:basedOn w:val="Normal"/>
    <w:pPr>
      <w:spacing w:after="270" w:line="300" w:lineRule="atLeast"/>
    </w:pPr>
  </w:style>
  <w:style w:type="paragraph" w:customStyle="1" w:styleId="sectionFundingfundDetailsfirstLine">
    <w:name w:val="sectionFunding_fundDetails_firstLine"/>
    <w:basedOn w:val="Normal"/>
  </w:style>
  <w:style w:type="paragraph" w:customStyle="1" w:styleId="sectionFundingfundDetailsmyncbiAwardawardID">
    <w:name w:val="sectionFunding_fundDetails_myncbiAward_awardID"/>
    <w:basedOn w:val="Normal"/>
  </w:style>
  <w:style w:type="paragraph" w:customStyle="1" w:styleId="sectionFundingfundDetailsmyncbiAwardpiName">
    <w:name w:val="sectionFunding_fundDetails_myncbiAward_piName"/>
    <w:basedOn w:val="Normal"/>
  </w:style>
  <w:style w:type="paragraph" w:customStyle="1" w:styleId="projectDescription">
    <w:name w:val="projectDescription"/>
    <w:basedOn w:val="Normal"/>
  </w:style>
  <w:style w:type="paragraph" w:customStyle="1" w:styleId="Default">
    <w:name w:val="Default"/>
    <w:rsid w:val="00E15810"/>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50912">
      <w:bodyDiv w:val="1"/>
      <w:marLeft w:val="0"/>
      <w:marRight w:val="0"/>
      <w:marTop w:val="0"/>
      <w:marBottom w:val="0"/>
      <w:divBdr>
        <w:top w:val="none" w:sz="0" w:space="0" w:color="auto"/>
        <w:left w:val="none" w:sz="0" w:space="0" w:color="auto"/>
        <w:bottom w:val="none" w:sz="0" w:space="0" w:color="auto"/>
        <w:right w:val="none" w:sz="0" w:space="0" w:color="auto"/>
      </w:divBdr>
      <w:divsChild>
        <w:div w:id="66153959">
          <w:marLeft w:val="0"/>
          <w:marRight w:val="0"/>
          <w:marTop w:val="0"/>
          <w:marBottom w:val="0"/>
          <w:divBdr>
            <w:top w:val="none" w:sz="0" w:space="0" w:color="auto"/>
            <w:left w:val="none" w:sz="0" w:space="0" w:color="auto"/>
            <w:bottom w:val="none" w:sz="0" w:space="0" w:color="auto"/>
            <w:right w:val="none" w:sz="0" w:space="0" w:color="auto"/>
          </w:divBdr>
        </w:div>
        <w:div w:id="1683121067">
          <w:marLeft w:val="0"/>
          <w:marRight w:val="0"/>
          <w:marTop w:val="0"/>
          <w:marBottom w:val="0"/>
          <w:divBdr>
            <w:top w:val="none" w:sz="0" w:space="0" w:color="auto"/>
            <w:left w:val="none" w:sz="0" w:space="0" w:color="auto"/>
            <w:bottom w:val="none" w:sz="0" w:space="0" w:color="auto"/>
            <w:right w:val="none" w:sz="0" w:space="0" w:color="auto"/>
          </w:divBdr>
        </w:div>
      </w:divsChild>
    </w:div>
    <w:div w:id="1995331236">
      <w:bodyDiv w:val="1"/>
      <w:marLeft w:val="0"/>
      <w:marRight w:val="0"/>
      <w:marTop w:val="0"/>
      <w:marBottom w:val="0"/>
      <w:divBdr>
        <w:top w:val="none" w:sz="0" w:space="0" w:color="auto"/>
        <w:left w:val="none" w:sz="0" w:space="0" w:color="auto"/>
        <w:bottom w:val="none" w:sz="0" w:space="0" w:color="auto"/>
        <w:right w:val="none" w:sz="0" w:space="0" w:color="auto"/>
      </w:divBdr>
      <w:divsChild>
        <w:div w:id="2048984652">
          <w:marLeft w:val="0"/>
          <w:marRight w:val="0"/>
          <w:marTop w:val="0"/>
          <w:marBottom w:val="0"/>
          <w:divBdr>
            <w:top w:val="none" w:sz="0" w:space="0" w:color="auto"/>
            <w:left w:val="none" w:sz="0" w:space="0" w:color="auto"/>
            <w:bottom w:val="none" w:sz="0" w:space="0" w:color="auto"/>
            <w:right w:val="none" w:sz="0" w:space="0" w:color="auto"/>
          </w:divBdr>
        </w:div>
        <w:div w:id="3576584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4330088/" TargetMode="External"/><Relationship Id="rId3" Type="http://schemas.openxmlformats.org/officeDocument/2006/relationships/settings" Target="settings.xml"/><Relationship Id="rId7" Type="http://schemas.openxmlformats.org/officeDocument/2006/relationships/hyperlink" Target="http://www.ncbi.nlm.nih.gov/pubmed/255538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5760317/" TargetMode="External"/><Relationship Id="rId11" Type="http://schemas.openxmlformats.org/officeDocument/2006/relationships/fontTable" Target="fontTable.xml"/><Relationship Id="rId5" Type="http://schemas.openxmlformats.org/officeDocument/2006/relationships/hyperlink" Target="http://www.ncbi.nlm.nih.gov/pubmed/29246954/" TargetMode="External"/><Relationship Id="rId10" Type="http://schemas.openxmlformats.org/officeDocument/2006/relationships/hyperlink" Target="http://www.ncbi.nlm.nih.gov/pubmed/25024381/" TargetMode="External"/><Relationship Id="rId4" Type="http://schemas.openxmlformats.org/officeDocument/2006/relationships/webSettings" Target="webSettings.xml"/><Relationship Id="rId9" Type="http://schemas.openxmlformats.org/officeDocument/2006/relationships/hyperlink" Target="http://www.ncbi.nlm.nih.gov/pubmed/18835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SciENCV PDF</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SciENCV PDF</dc:title>
  <dc:creator>Ryter, Kendal</dc:creator>
  <cp:lastModifiedBy>Ryter, Kendal</cp:lastModifiedBy>
  <cp:revision>2</cp:revision>
  <dcterms:created xsi:type="dcterms:W3CDTF">2018-12-04T17:08:00Z</dcterms:created>
  <dcterms:modified xsi:type="dcterms:W3CDTF">2018-12-04T17:08:00Z</dcterms:modified>
</cp:coreProperties>
</file>